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6A9B9F" w14:textId="2513BCB6" w:rsidR="008E401C" w:rsidRPr="006C076F" w:rsidRDefault="0076021C">
      <w:pPr>
        <w:rPr>
          <w:b/>
          <w:sz w:val="24"/>
          <w:szCs w:val="24"/>
        </w:rPr>
      </w:pPr>
      <w:r w:rsidRPr="006C076F">
        <w:rPr>
          <w:b/>
          <w:sz w:val="24"/>
          <w:szCs w:val="24"/>
        </w:rPr>
        <w:t>Plan TDT wdrożenia ustawy o zapewnieniu dostępności osobom ze szczególnymi potrzebami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1"/>
        <w:gridCol w:w="2565"/>
        <w:gridCol w:w="7512"/>
        <w:gridCol w:w="3226"/>
      </w:tblGrid>
      <w:tr w:rsidR="0076021C" w14:paraId="239955D6" w14:textId="77777777" w:rsidTr="007C7D0B">
        <w:trPr>
          <w:trHeight w:val="907"/>
        </w:trPr>
        <w:tc>
          <w:tcPr>
            <w:tcW w:w="691" w:type="dxa"/>
            <w:shd w:val="clear" w:color="auto" w:fill="D9D9D9" w:themeFill="background1" w:themeFillShade="D9"/>
          </w:tcPr>
          <w:p w14:paraId="69451FB6" w14:textId="77777777" w:rsidR="0076021C" w:rsidRDefault="0076021C" w:rsidP="0076021C">
            <w:pPr>
              <w:jc w:val="center"/>
            </w:pPr>
          </w:p>
          <w:p w14:paraId="3350B9F7" w14:textId="77574027" w:rsidR="0076021C" w:rsidRDefault="0076021C" w:rsidP="0076021C">
            <w:pPr>
              <w:jc w:val="center"/>
            </w:pPr>
            <w:r>
              <w:t>L.p.</w:t>
            </w:r>
          </w:p>
        </w:tc>
        <w:tc>
          <w:tcPr>
            <w:tcW w:w="2565" w:type="dxa"/>
            <w:shd w:val="clear" w:color="auto" w:fill="D9D9D9" w:themeFill="background1" w:themeFillShade="D9"/>
          </w:tcPr>
          <w:p w14:paraId="40EB3B9F" w14:textId="77777777" w:rsidR="0076021C" w:rsidRDefault="0076021C" w:rsidP="007C7D0B">
            <w:pPr>
              <w:jc w:val="center"/>
            </w:pPr>
          </w:p>
          <w:p w14:paraId="3AFB1784" w14:textId="626043F6" w:rsidR="0076021C" w:rsidRDefault="0076021C" w:rsidP="007C7D0B">
            <w:pPr>
              <w:jc w:val="center"/>
            </w:pPr>
            <w:r>
              <w:t>Działania</w:t>
            </w:r>
          </w:p>
        </w:tc>
        <w:tc>
          <w:tcPr>
            <w:tcW w:w="7512" w:type="dxa"/>
            <w:shd w:val="clear" w:color="auto" w:fill="D9D9D9" w:themeFill="background1" w:themeFillShade="D9"/>
          </w:tcPr>
          <w:p w14:paraId="367DCE06" w14:textId="77777777" w:rsidR="0076021C" w:rsidRDefault="0076021C"/>
          <w:p w14:paraId="4DC1F42D" w14:textId="77E2C341" w:rsidR="0076021C" w:rsidRDefault="0076021C" w:rsidP="007C7D0B">
            <w:pPr>
              <w:jc w:val="center"/>
            </w:pPr>
            <w:r>
              <w:t>Zalecenia do wdrożenia</w:t>
            </w:r>
          </w:p>
        </w:tc>
        <w:tc>
          <w:tcPr>
            <w:tcW w:w="3226" w:type="dxa"/>
            <w:shd w:val="clear" w:color="auto" w:fill="D9D9D9" w:themeFill="background1" w:themeFillShade="D9"/>
          </w:tcPr>
          <w:p w14:paraId="5078198D" w14:textId="77777777" w:rsidR="0076021C" w:rsidRDefault="0076021C"/>
          <w:p w14:paraId="24C1384B" w14:textId="7859D81A" w:rsidR="0076021C" w:rsidRDefault="0076021C" w:rsidP="007C7D0B">
            <w:pPr>
              <w:jc w:val="center"/>
            </w:pPr>
            <w:r>
              <w:t>Harmonogram</w:t>
            </w:r>
          </w:p>
        </w:tc>
      </w:tr>
      <w:tr w:rsidR="007C7D0B" w14:paraId="63621D56" w14:textId="77777777" w:rsidTr="007C7D0B">
        <w:trPr>
          <w:trHeight w:val="567"/>
        </w:trPr>
        <w:tc>
          <w:tcPr>
            <w:tcW w:w="691" w:type="dxa"/>
          </w:tcPr>
          <w:p w14:paraId="777673C4" w14:textId="7BFE0C96" w:rsidR="007C7D0B" w:rsidRDefault="00125A9D">
            <w:r>
              <w:t>1</w:t>
            </w:r>
            <w:r w:rsidR="007C7D0B">
              <w:t>.</w:t>
            </w:r>
          </w:p>
        </w:tc>
        <w:tc>
          <w:tcPr>
            <w:tcW w:w="2565" w:type="dxa"/>
            <w:vMerge w:val="restart"/>
          </w:tcPr>
          <w:p w14:paraId="16440BBC" w14:textId="77777777" w:rsidR="007C7D0B" w:rsidRDefault="007C7D0B"/>
        </w:tc>
        <w:tc>
          <w:tcPr>
            <w:tcW w:w="7512" w:type="dxa"/>
          </w:tcPr>
          <w:p w14:paraId="4B82E391" w14:textId="13C64FF5" w:rsidR="007C7D0B" w:rsidRDefault="007C7D0B">
            <w:r>
              <w:t>Wykonać schemat</w:t>
            </w:r>
            <w:r w:rsidR="006C076F">
              <w:t>y</w:t>
            </w:r>
            <w:r>
              <w:t xml:space="preserve"> dotykowe w </w:t>
            </w:r>
            <w:r w:rsidR="00AB68BE">
              <w:t xml:space="preserve">budynkach TDT </w:t>
            </w:r>
          </w:p>
        </w:tc>
        <w:tc>
          <w:tcPr>
            <w:tcW w:w="3226" w:type="dxa"/>
          </w:tcPr>
          <w:p w14:paraId="77611B52" w14:textId="39F62F77" w:rsidR="007C7D0B" w:rsidRDefault="007C7D0B">
            <w:r>
              <w:t>dostęp alternatywny</w:t>
            </w:r>
          </w:p>
        </w:tc>
      </w:tr>
      <w:tr w:rsidR="007C7D0B" w14:paraId="51F7A018" w14:textId="77777777" w:rsidTr="007C7D0B">
        <w:trPr>
          <w:trHeight w:val="567"/>
        </w:trPr>
        <w:tc>
          <w:tcPr>
            <w:tcW w:w="691" w:type="dxa"/>
          </w:tcPr>
          <w:p w14:paraId="460C5285" w14:textId="1974513D" w:rsidR="007C7D0B" w:rsidRDefault="00125A9D">
            <w:r>
              <w:t>2</w:t>
            </w:r>
            <w:r w:rsidR="007C7D0B">
              <w:t>.</w:t>
            </w:r>
          </w:p>
        </w:tc>
        <w:tc>
          <w:tcPr>
            <w:tcW w:w="2565" w:type="dxa"/>
            <w:vMerge/>
          </w:tcPr>
          <w:p w14:paraId="61C68FD5" w14:textId="77777777" w:rsidR="007C7D0B" w:rsidRDefault="007C7D0B"/>
        </w:tc>
        <w:tc>
          <w:tcPr>
            <w:tcW w:w="7512" w:type="dxa"/>
          </w:tcPr>
          <w:p w14:paraId="1988BE37" w14:textId="3487AA51" w:rsidR="007C7D0B" w:rsidRDefault="007C7D0B">
            <w:r>
              <w:t xml:space="preserve">Ustawić komunikaty głosowe w </w:t>
            </w:r>
            <w:r w:rsidR="001C223C">
              <w:t>dźwigach</w:t>
            </w:r>
          </w:p>
        </w:tc>
        <w:tc>
          <w:tcPr>
            <w:tcW w:w="3226" w:type="dxa"/>
          </w:tcPr>
          <w:p w14:paraId="2DF603AC" w14:textId="126DC849" w:rsidR="007C7D0B" w:rsidRDefault="00125A9D">
            <w:r>
              <w:t>2024</w:t>
            </w:r>
          </w:p>
        </w:tc>
      </w:tr>
      <w:tr w:rsidR="007C7D0B" w14:paraId="2BEC5BAA" w14:textId="77777777" w:rsidTr="007C7D0B">
        <w:trPr>
          <w:trHeight w:val="567"/>
        </w:trPr>
        <w:tc>
          <w:tcPr>
            <w:tcW w:w="691" w:type="dxa"/>
          </w:tcPr>
          <w:p w14:paraId="23C5A4EB" w14:textId="0BDCDB65" w:rsidR="007C7D0B" w:rsidRDefault="00125A9D">
            <w:r>
              <w:t>3</w:t>
            </w:r>
            <w:r w:rsidR="007C7D0B">
              <w:t>.</w:t>
            </w:r>
          </w:p>
        </w:tc>
        <w:tc>
          <w:tcPr>
            <w:tcW w:w="2565" w:type="dxa"/>
            <w:vMerge/>
          </w:tcPr>
          <w:p w14:paraId="705489EF" w14:textId="77777777" w:rsidR="007C7D0B" w:rsidRDefault="007C7D0B"/>
        </w:tc>
        <w:tc>
          <w:tcPr>
            <w:tcW w:w="7512" w:type="dxa"/>
          </w:tcPr>
          <w:p w14:paraId="763C895C" w14:textId="633DA770" w:rsidR="007C7D0B" w:rsidRDefault="007C7D0B">
            <w:r>
              <w:t>Zapewnić windę/platformę/urządzenie techniczne w Zespole Inspektorów w Łodzi</w:t>
            </w:r>
          </w:p>
        </w:tc>
        <w:tc>
          <w:tcPr>
            <w:tcW w:w="3226" w:type="dxa"/>
          </w:tcPr>
          <w:p w14:paraId="0B6E9239" w14:textId="1DF59760" w:rsidR="007C7D0B" w:rsidRDefault="007C7D0B">
            <w:r>
              <w:t>dostęp alternatywny</w:t>
            </w:r>
          </w:p>
        </w:tc>
      </w:tr>
      <w:tr w:rsidR="007C7D0B" w14:paraId="12EB4032" w14:textId="77777777" w:rsidTr="007C7D0B">
        <w:trPr>
          <w:trHeight w:val="567"/>
        </w:trPr>
        <w:tc>
          <w:tcPr>
            <w:tcW w:w="691" w:type="dxa"/>
          </w:tcPr>
          <w:p w14:paraId="25856320" w14:textId="6D74228B" w:rsidR="007C7D0B" w:rsidRDefault="00125A9D">
            <w:r>
              <w:t>4</w:t>
            </w:r>
            <w:r w:rsidR="007C7D0B">
              <w:t>.</w:t>
            </w:r>
          </w:p>
        </w:tc>
        <w:tc>
          <w:tcPr>
            <w:tcW w:w="2565" w:type="dxa"/>
            <w:vMerge/>
          </w:tcPr>
          <w:p w14:paraId="0938785A" w14:textId="77777777" w:rsidR="007C7D0B" w:rsidRDefault="007C7D0B"/>
        </w:tc>
        <w:tc>
          <w:tcPr>
            <w:tcW w:w="7512" w:type="dxa"/>
          </w:tcPr>
          <w:p w14:paraId="566DD13D" w14:textId="36F7F467" w:rsidR="007C7D0B" w:rsidRDefault="007C7D0B">
            <w:r>
              <w:t>Zapewnić windę/platformę/urządzenie techniczne w Oddziałach Terenowych w Lublinie, Katowicach i Poznaniu</w:t>
            </w:r>
          </w:p>
        </w:tc>
        <w:tc>
          <w:tcPr>
            <w:tcW w:w="3226" w:type="dxa"/>
          </w:tcPr>
          <w:p w14:paraId="4E00E202" w14:textId="518C9F60" w:rsidR="007C7D0B" w:rsidRDefault="007C7D0B">
            <w:r>
              <w:t>dostęp alternatywny z długim terminem wdrażania</w:t>
            </w:r>
          </w:p>
        </w:tc>
      </w:tr>
      <w:tr w:rsidR="007C7D0B" w14:paraId="6E1FE8DC" w14:textId="77777777" w:rsidTr="007C7D0B">
        <w:trPr>
          <w:trHeight w:val="567"/>
        </w:trPr>
        <w:tc>
          <w:tcPr>
            <w:tcW w:w="691" w:type="dxa"/>
          </w:tcPr>
          <w:p w14:paraId="660A6CFE" w14:textId="063E05D8" w:rsidR="007C7D0B" w:rsidRDefault="00125A9D">
            <w:r>
              <w:t>5</w:t>
            </w:r>
            <w:r w:rsidR="006C076F">
              <w:t>.</w:t>
            </w:r>
          </w:p>
        </w:tc>
        <w:tc>
          <w:tcPr>
            <w:tcW w:w="2565" w:type="dxa"/>
            <w:vMerge/>
          </w:tcPr>
          <w:p w14:paraId="39043A45" w14:textId="77777777" w:rsidR="007C7D0B" w:rsidRDefault="007C7D0B"/>
        </w:tc>
        <w:tc>
          <w:tcPr>
            <w:tcW w:w="7512" w:type="dxa"/>
          </w:tcPr>
          <w:p w14:paraId="723C356A" w14:textId="23D6F708" w:rsidR="007C7D0B" w:rsidRDefault="007C7D0B">
            <w:r>
              <w:t>Zapewnić toaletę dla niepełnosprawnych w Oddziałach Terenowych w Lublinie i Katowicach</w:t>
            </w:r>
          </w:p>
        </w:tc>
        <w:tc>
          <w:tcPr>
            <w:tcW w:w="3226" w:type="dxa"/>
          </w:tcPr>
          <w:p w14:paraId="0ADA273C" w14:textId="01356997" w:rsidR="007C7D0B" w:rsidRDefault="007C7D0B">
            <w:r>
              <w:t>długi termin wdrażania</w:t>
            </w:r>
          </w:p>
        </w:tc>
      </w:tr>
      <w:tr w:rsidR="007C7D0B" w14:paraId="3DE6D27F" w14:textId="77777777" w:rsidTr="007C7D0B">
        <w:trPr>
          <w:trHeight w:val="567"/>
        </w:trPr>
        <w:tc>
          <w:tcPr>
            <w:tcW w:w="691" w:type="dxa"/>
          </w:tcPr>
          <w:p w14:paraId="59352560" w14:textId="193F2FA5" w:rsidR="007C7D0B" w:rsidRDefault="00125A9D">
            <w:r>
              <w:t>6</w:t>
            </w:r>
            <w:r w:rsidR="007C7D0B">
              <w:t xml:space="preserve">. </w:t>
            </w:r>
          </w:p>
        </w:tc>
        <w:tc>
          <w:tcPr>
            <w:tcW w:w="2565" w:type="dxa"/>
            <w:vMerge/>
          </w:tcPr>
          <w:p w14:paraId="66E7AB9D" w14:textId="77777777" w:rsidR="007C7D0B" w:rsidRDefault="007C7D0B"/>
        </w:tc>
        <w:tc>
          <w:tcPr>
            <w:tcW w:w="7512" w:type="dxa"/>
          </w:tcPr>
          <w:p w14:paraId="60AF9AC6" w14:textId="02839544" w:rsidR="007C7D0B" w:rsidRDefault="00D96DB0">
            <w:r>
              <w:t>Oznaczyć</w:t>
            </w:r>
            <w:r w:rsidR="007C7D0B">
              <w:t xml:space="preserve"> </w:t>
            </w:r>
            <w:r w:rsidR="00E432C7">
              <w:t xml:space="preserve">kontrastowym kolorem </w:t>
            </w:r>
            <w:r w:rsidR="007C7D0B">
              <w:t>schod</w:t>
            </w:r>
            <w:r>
              <w:t>y</w:t>
            </w:r>
            <w:r w:rsidR="007C7D0B">
              <w:t xml:space="preserve"> wewnętrzn</w:t>
            </w:r>
            <w:r>
              <w:t>e</w:t>
            </w:r>
            <w:r w:rsidR="007C7D0B">
              <w:t xml:space="preserve"> i zewnętrzn</w:t>
            </w:r>
            <w:r>
              <w:t>e</w:t>
            </w:r>
            <w:r w:rsidR="007C7D0B">
              <w:t xml:space="preserve"> w Oddziałach Terenowy</w:t>
            </w:r>
            <w:r w:rsidR="006C076F">
              <w:t>ch</w:t>
            </w:r>
            <w:r>
              <w:t xml:space="preserve"> </w:t>
            </w:r>
          </w:p>
        </w:tc>
        <w:tc>
          <w:tcPr>
            <w:tcW w:w="3226" w:type="dxa"/>
          </w:tcPr>
          <w:p w14:paraId="4BD1779E" w14:textId="66F017AA" w:rsidR="007C7D0B" w:rsidRDefault="007C7D0B">
            <w:r>
              <w:t>202</w:t>
            </w:r>
            <w:r w:rsidR="001C223C">
              <w:t>4</w:t>
            </w:r>
          </w:p>
        </w:tc>
      </w:tr>
      <w:tr w:rsidR="007C7D0B" w14:paraId="03C74A2E" w14:textId="77777777" w:rsidTr="007C7D0B">
        <w:trPr>
          <w:trHeight w:val="567"/>
        </w:trPr>
        <w:tc>
          <w:tcPr>
            <w:tcW w:w="691" w:type="dxa"/>
          </w:tcPr>
          <w:p w14:paraId="5B2633C4" w14:textId="11D01C6A" w:rsidR="007C7D0B" w:rsidRDefault="00125A9D">
            <w:r>
              <w:t>7</w:t>
            </w:r>
            <w:r w:rsidR="007C7D0B">
              <w:t>.</w:t>
            </w:r>
          </w:p>
        </w:tc>
        <w:tc>
          <w:tcPr>
            <w:tcW w:w="2565" w:type="dxa"/>
            <w:vMerge/>
          </w:tcPr>
          <w:p w14:paraId="639CDA0A" w14:textId="77777777" w:rsidR="007C7D0B" w:rsidRDefault="007C7D0B"/>
        </w:tc>
        <w:tc>
          <w:tcPr>
            <w:tcW w:w="7512" w:type="dxa"/>
          </w:tcPr>
          <w:p w14:paraId="1365AACB" w14:textId="0331A99C" w:rsidR="007C7D0B" w:rsidRDefault="007C7D0B">
            <w:r>
              <w:t>Zapewnić odpowiednią przestrzeń między drzwiami wejściowymi do Oddziałów Terenowych w Lublinie i Poznaniu</w:t>
            </w:r>
          </w:p>
        </w:tc>
        <w:tc>
          <w:tcPr>
            <w:tcW w:w="3226" w:type="dxa"/>
          </w:tcPr>
          <w:p w14:paraId="3E55FC92" w14:textId="23C8C5AD" w:rsidR="007C7D0B" w:rsidRDefault="001C223C">
            <w:r>
              <w:t xml:space="preserve">długi termin wdrażania </w:t>
            </w:r>
          </w:p>
        </w:tc>
      </w:tr>
      <w:tr w:rsidR="007C7D0B" w14:paraId="74674F30" w14:textId="77777777" w:rsidTr="007C7D0B">
        <w:trPr>
          <w:trHeight w:val="567"/>
        </w:trPr>
        <w:tc>
          <w:tcPr>
            <w:tcW w:w="691" w:type="dxa"/>
          </w:tcPr>
          <w:p w14:paraId="0F7571B9" w14:textId="378854EF" w:rsidR="007C7D0B" w:rsidRDefault="00125A9D">
            <w:r>
              <w:t>8</w:t>
            </w:r>
            <w:r w:rsidR="007C7D0B">
              <w:t>.</w:t>
            </w:r>
          </w:p>
        </w:tc>
        <w:tc>
          <w:tcPr>
            <w:tcW w:w="2565" w:type="dxa"/>
            <w:vMerge/>
          </w:tcPr>
          <w:p w14:paraId="279883BA" w14:textId="77777777" w:rsidR="007C7D0B" w:rsidRDefault="007C7D0B"/>
        </w:tc>
        <w:tc>
          <w:tcPr>
            <w:tcW w:w="7512" w:type="dxa"/>
          </w:tcPr>
          <w:p w14:paraId="21022EEB" w14:textId="2BA6573B" w:rsidR="007C7D0B" w:rsidRDefault="007C7D0B">
            <w:r>
              <w:t>Wyrównać i utwardzić powierzchnię parkingu przy Oddziale Terenowym w Gdańsku</w:t>
            </w:r>
          </w:p>
        </w:tc>
        <w:tc>
          <w:tcPr>
            <w:tcW w:w="3226" w:type="dxa"/>
          </w:tcPr>
          <w:p w14:paraId="6BCEB79F" w14:textId="68544D6B" w:rsidR="007C7D0B" w:rsidRDefault="001C223C">
            <w:r>
              <w:t xml:space="preserve">długi termin wdrażania </w:t>
            </w:r>
          </w:p>
        </w:tc>
      </w:tr>
      <w:tr w:rsidR="007C7D0B" w14:paraId="4BA03B55" w14:textId="77777777" w:rsidTr="007C7D0B">
        <w:trPr>
          <w:trHeight w:val="567"/>
        </w:trPr>
        <w:tc>
          <w:tcPr>
            <w:tcW w:w="691" w:type="dxa"/>
          </w:tcPr>
          <w:p w14:paraId="3A55CB2A" w14:textId="6409CDFA" w:rsidR="007C7D0B" w:rsidRDefault="00125A9D">
            <w:r>
              <w:t>9.</w:t>
            </w:r>
          </w:p>
        </w:tc>
        <w:tc>
          <w:tcPr>
            <w:tcW w:w="2565" w:type="dxa"/>
            <w:vMerge/>
          </w:tcPr>
          <w:p w14:paraId="085FE54D" w14:textId="77777777" w:rsidR="007C7D0B" w:rsidRDefault="007C7D0B"/>
        </w:tc>
        <w:tc>
          <w:tcPr>
            <w:tcW w:w="7512" w:type="dxa"/>
          </w:tcPr>
          <w:p w14:paraId="61EC62AF" w14:textId="0055E4FB" w:rsidR="007C7D0B" w:rsidRDefault="007C7D0B">
            <w:r>
              <w:t>Wykonać podjazd przy wejściu przez furtkę w Oddziale Terenowym w Gdańsku</w:t>
            </w:r>
          </w:p>
        </w:tc>
        <w:tc>
          <w:tcPr>
            <w:tcW w:w="3226" w:type="dxa"/>
          </w:tcPr>
          <w:p w14:paraId="4492B7C1" w14:textId="052AFE55" w:rsidR="007C7D0B" w:rsidRDefault="001C223C">
            <w:r>
              <w:t xml:space="preserve">długi termin wdrażania </w:t>
            </w:r>
          </w:p>
        </w:tc>
      </w:tr>
      <w:tr w:rsidR="007C7D0B" w14:paraId="74508CC8" w14:textId="77777777" w:rsidTr="007C7D0B">
        <w:trPr>
          <w:trHeight w:val="567"/>
        </w:trPr>
        <w:tc>
          <w:tcPr>
            <w:tcW w:w="691" w:type="dxa"/>
          </w:tcPr>
          <w:p w14:paraId="5D110C03" w14:textId="34E14A4F" w:rsidR="007C7D0B" w:rsidRDefault="007C7D0B">
            <w:r>
              <w:t>1</w:t>
            </w:r>
            <w:r w:rsidR="00125A9D">
              <w:t>0</w:t>
            </w:r>
            <w:r>
              <w:t>.</w:t>
            </w:r>
          </w:p>
        </w:tc>
        <w:tc>
          <w:tcPr>
            <w:tcW w:w="2565" w:type="dxa"/>
            <w:vMerge/>
          </w:tcPr>
          <w:p w14:paraId="7206AAA6" w14:textId="77777777" w:rsidR="007C7D0B" w:rsidRDefault="007C7D0B"/>
        </w:tc>
        <w:tc>
          <w:tcPr>
            <w:tcW w:w="7512" w:type="dxa"/>
          </w:tcPr>
          <w:p w14:paraId="04CDA12A" w14:textId="0E5EC1C8" w:rsidR="007C7D0B" w:rsidRDefault="007C7D0B">
            <w:r>
              <w:t xml:space="preserve">Usunąć progi w drzwiach i przejściach </w:t>
            </w:r>
          </w:p>
        </w:tc>
        <w:tc>
          <w:tcPr>
            <w:tcW w:w="3226" w:type="dxa"/>
          </w:tcPr>
          <w:p w14:paraId="5FAC694D" w14:textId="5D6BAB0A" w:rsidR="007C7D0B" w:rsidRDefault="001C223C">
            <w:r>
              <w:t>2024</w:t>
            </w:r>
          </w:p>
        </w:tc>
      </w:tr>
      <w:tr w:rsidR="007C7D0B" w14:paraId="7E3B87CF" w14:textId="77777777" w:rsidTr="007C7D0B">
        <w:trPr>
          <w:trHeight w:val="567"/>
        </w:trPr>
        <w:tc>
          <w:tcPr>
            <w:tcW w:w="691" w:type="dxa"/>
          </w:tcPr>
          <w:p w14:paraId="5135BE61" w14:textId="2BE9A7DE" w:rsidR="007C7D0B" w:rsidRDefault="007C7D0B">
            <w:r>
              <w:t>1</w:t>
            </w:r>
            <w:r w:rsidR="00125A9D">
              <w:t>1</w:t>
            </w:r>
            <w:r>
              <w:t>.</w:t>
            </w:r>
          </w:p>
        </w:tc>
        <w:tc>
          <w:tcPr>
            <w:tcW w:w="2565" w:type="dxa"/>
            <w:vMerge/>
          </w:tcPr>
          <w:p w14:paraId="15D57478" w14:textId="77777777" w:rsidR="007C7D0B" w:rsidRDefault="007C7D0B"/>
        </w:tc>
        <w:tc>
          <w:tcPr>
            <w:tcW w:w="7512" w:type="dxa"/>
          </w:tcPr>
          <w:p w14:paraId="38E1E248" w14:textId="0B5F7A90" w:rsidR="007C7D0B" w:rsidRDefault="007C7D0B">
            <w:r>
              <w:t>Oznaczyć widocznie wejście do Laboratorium TDT</w:t>
            </w:r>
          </w:p>
        </w:tc>
        <w:tc>
          <w:tcPr>
            <w:tcW w:w="3226" w:type="dxa"/>
          </w:tcPr>
          <w:p w14:paraId="4CB2B0F5" w14:textId="068D8643" w:rsidR="007C7D0B" w:rsidRDefault="001C223C">
            <w:r>
              <w:t>2024</w:t>
            </w:r>
          </w:p>
        </w:tc>
      </w:tr>
      <w:tr w:rsidR="007C7D0B" w14:paraId="08F80E36" w14:textId="77777777" w:rsidTr="007C7D0B">
        <w:trPr>
          <w:trHeight w:val="567"/>
        </w:trPr>
        <w:tc>
          <w:tcPr>
            <w:tcW w:w="691" w:type="dxa"/>
          </w:tcPr>
          <w:p w14:paraId="7720918C" w14:textId="637E9B56" w:rsidR="007C7D0B" w:rsidRDefault="007C7D0B">
            <w:r>
              <w:t>1</w:t>
            </w:r>
            <w:r w:rsidR="00125A9D">
              <w:t>2</w:t>
            </w:r>
            <w:r>
              <w:t>.</w:t>
            </w:r>
          </w:p>
        </w:tc>
        <w:tc>
          <w:tcPr>
            <w:tcW w:w="2565" w:type="dxa"/>
            <w:vMerge/>
          </w:tcPr>
          <w:p w14:paraId="377CA836" w14:textId="77777777" w:rsidR="007C7D0B" w:rsidRDefault="007C7D0B"/>
        </w:tc>
        <w:tc>
          <w:tcPr>
            <w:tcW w:w="7512" w:type="dxa"/>
          </w:tcPr>
          <w:p w14:paraId="444DFF4D" w14:textId="3CDA3E83" w:rsidR="007C7D0B" w:rsidRDefault="007C7D0B">
            <w:r>
              <w:t>Oznaczyć miejsca</w:t>
            </w:r>
            <w:r w:rsidR="00D96DB0">
              <w:t xml:space="preserve"> parkingowe</w:t>
            </w:r>
            <w:r>
              <w:t xml:space="preserve"> dla osób niepełnosprawnych</w:t>
            </w:r>
            <w:r w:rsidR="00D96DB0">
              <w:t xml:space="preserve"> </w:t>
            </w:r>
            <w:r>
              <w:t>przy Oddziałach Terenowych</w:t>
            </w:r>
          </w:p>
        </w:tc>
        <w:tc>
          <w:tcPr>
            <w:tcW w:w="3226" w:type="dxa"/>
          </w:tcPr>
          <w:p w14:paraId="7F480516" w14:textId="2CDFF294" w:rsidR="007C7D0B" w:rsidRDefault="001C223C">
            <w:r>
              <w:t>dostęp alternatywny</w:t>
            </w:r>
          </w:p>
        </w:tc>
      </w:tr>
      <w:tr w:rsidR="006C076F" w14:paraId="258BFD98" w14:textId="77777777" w:rsidTr="006C076F">
        <w:trPr>
          <w:trHeight w:val="567"/>
        </w:trPr>
        <w:tc>
          <w:tcPr>
            <w:tcW w:w="691" w:type="dxa"/>
          </w:tcPr>
          <w:p w14:paraId="46F0A625" w14:textId="02C6E25D" w:rsidR="006C076F" w:rsidRDefault="006C076F">
            <w:r>
              <w:t>1</w:t>
            </w:r>
            <w:r w:rsidR="00125A9D">
              <w:t>3</w:t>
            </w:r>
            <w:r>
              <w:t>.</w:t>
            </w:r>
          </w:p>
        </w:tc>
        <w:tc>
          <w:tcPr>
            <w:tcW w:w="2565" w:type="dxa"/>
            <w:vMerge w:val="restart"/>
          </w:tcPr>
          <w:p w14:paraId="100299D9" w14:textId="77777777" w:rsidR="006C076F" w:rsidRDefault="006C076F"/>
          <w:p w14:paraId="586CF7FC" w14:textId="77777777" w:rsidR="006C076F" w:rsidRDefault="006C076F"/>
          <w:p w14:paraId="2C3C3708" w14:textId="77777777" w:rsidR="006C076F" w:rsidRDefault="006C076F"/>
          <w:p w14:paraId="39A9AD34" w14:textId="77777777" w:rsidR="006C076F" w:rsidRDefault="006C076F"/>
          <w:p w14:paraId="1922A80B" w14:textId="1D17EB46" w:rsidR="006C076F" w:rsidRDefault="006C076F" w:rsidP="006C076F">
            <w:pPr>
              <w:jc w:val="center"/>
            </w:pPr>
            <w:r>
              <w:t>Informacyjno-komunikacyjne</w:t>
            </w:r>
          </w:p>
        </w:tc>
        <w:tc>
          <w:tcPr>
            <w:tcW w:w="7512" w:type="dxa"/>
          </w:tcPr>
          <w:p w14:paraId="6195763A" w14:textId="507936CE" w:rsidR="006C076F" w:rsidRDefault="006C076F">
            <w:r>
              <w:lastRenderedPageBreak/>
              <w:t>Opracować, opublikować i przekazać do Ministra właściwego do spraw rozwoju regionalnego „Raport o stanie zapewnienia dostępności podmiotu publicznego”</w:t>
            </w:r>
          </w:p>
        </w:tc>
        <w:tc>
          <w:tcPr>
            <w:tcW w:w="3226" w:type="dxa"/>
          </w:tcPr>
          <w:p w14:paraId="3DE56CCE" w14:textId="6322FA4B" w:rsidR="006C076F" w:rsidRDefault="001C223C">
            <w:r>
              <w:t xml:space="preserve">Do 30 marca </w:t>
            </w:r>
            <w:r w:rsidR="006C076F">
              <w:t>202</w:t>
            </w:r>
            <w:r>
              <w:t>4</w:t>
            </w:r>
          </w:p>
        </w:tc>
      </w:tr>
      <w:tr w:rsidR="006C076F" w14:paraId="49BB9F08" w14:textId="77777777" w:rsidTr="006C076F">
        <w:trPr>
          <w:trHeight w:val="567"/>
        </w:trPr>
        <w:tc>
          <w:tcPr>
            <w:tcW w:w="691" w:type="dxa"/>
          </w:tcPr>
          <w:p w14:paraId="068C7322" w14:textId="087BEA94" w:rsidR="006C076F" w:rsidRDefault="006C076F">
            <w:r>
              <w:lastRenderedPageBreak/>
              <w:t>1</w:t>
            </w:r>
            <w:r w:rsidR="00125A9D">
              <w:t>4</w:t>
            </w:r>
            <w:r>
              <w:t>.</w:t>
            </w:r>
          </w:p>
        </w:tc>
        <w:tc>
          <w:tcPr>
            <w:tcW w:w="2565" w:type="dxa"/>
            <w:vMerge/>
          </w:tcPr>
          <w:p w14:paraId="55299AB2" w14:textId="77777777" w:rsidR="006C076F" w:rsidRDefault="006C076F"/>
        </w:tc>
        <w:tc>
          <w:tcPr>
            <w:tcW w:w="7512" w:type="dxa"/>
          </w:tcPr>
          <w:p w14:paraId="3820731C" w14:textId="184CF7AB" w:rsidR="006C076F" w:rsidRDefault="006C076F">
            <w:r>
              <w:t>Publikacja „deklaracji dostępności” na stronie BIP TDT</w:t>
            </w:r>
          </w:p>
        </w:tc>
        <w:tc>
          <w:tcPr>
            <w:tcW w:w="3226" w:type="dxa"/>
          </w:tcPr>
          <w:p w14:paraId="4FECC7D9" w14:textId="4FE8F5AC" w:rsidR="006C076F" w:rsidRDefault="001C223C">
            <w:r>
              <w:t>Do 30 marca 2024</w:t>
            </w:r>
          </w:p>
        </w:tc>
      </w:tr>
      <w:tr w:rsidR="006C076F" w14:paraId="7F69E8F0" w14:textId="77777777" w:rsidTr="006C076F">
        <w:trPr>
          <w:trHeight w:val="567"/>
        </w:trPr>
        <w:tc>
          <w:tcPr>
            <w:tcW w:w="691" w:type="dxa"/>
          </w:tcPr>
          <w:p w14:paraId="7522AE9B" w14:textId="11D7514F" w:rsidR="006C076F" w:rsidRDefault="00125A9D">
            <w:r>
              <w:t>15</w:t>
            </w:r>
            <w:bookmarkStart w:id="0" w:name="_GoBack"/>
            <w:bookmarkEnd w:id="0"/>
            <w:r w:rsidR="006C076F">
              <w:t>.</w:t>
            </w:r>
          </w:p>
        </w:tc>
        <w:tc>
          <w:tcPr>
            <w:tcW w:w="2565" w:type="dxa"/>
            <w:vMerge/>
          </w:tcPr>
          <w:p w14:paraId="4E915FCD" w14:textId="77777777" w:rsidR="006C076F" w:rsidRDefault="006C076F"/>
        </w:tc>
        <w:tc>
          <w:tcPr>
            <w:tcW w:w="7512" w:type="dxa"/>
          </w:tcPr>
          <w:p w14:paraId="3A15201A" w14:textId="685DD770" w:rsidR="006C076F" w:rsidRDefault="006C076F">
            <w:r>
              <w:t>Na stronie internetowej TDT udostępnić nagranie w PJM o działalności TDT</w:t>
            </w:r>
          </w:p>
        </w:tc>
        <w:tc>
          <w:tcPr>
            <w:tcW w:w="3226" w:type="dxa"/>
          </w:tcPr>
          <w:p w14:paraId="577D5D1C" w14:textId="6937CEA7" w:rsidR="006C076F" w:rsidRDefault="001C223C">
            <w:r>
              <w:t xml:space="preserve">2024/2025 </w:t>
            </w:r>
          </w:p>
        </w:tc>
      </w:tr>
    </w:tbl>
    <w:p w14:paraId="013B5F99" w14:textId="77777777" w:rsidR="0076021C" w:rsidRDefault="0076021C"/>
    <w:sectPr w:rsidR="0076021C" w:rsidSect="0076021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B04"/>
    <w:rsid w:val="00125A9D"/>
    <w:rsid w:val="001C223C"/>
    <w:rsid w:val="00622BBF"/>
    <w:rsid w:val="006C076F"/>
    <w:rsid w:val="0076021C"/>
    <w:rsid w:val="007C7D0B"/>
    <w:rsid w:val="008E401C"/>
    <w:rsid w:val="00A61124"/>
    <w:rsid w:val="00AB68BE"/>
    <w:rsid w:val="00BD2DDE"/>
    <w:rsid w:val="00D96DB0"/>
    <w:rsid w:val="00E11B04"/>
    <w:rsid w:val="00E43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9FCE7"/>
  <w15:chartTrackingRefBased/>
  <w15:docId w15:val="{43F7DB21-B326-4843-9A70-AB90F2FDE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602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C223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223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223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22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223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22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22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237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Kozłowska</dc:creator>
  <cp:keywords/>
  <dc:description/>
  <cp:lastModifiedBy>Magdalena Choroś</cp:lastModifiedBy>
  <cp:revision>4</cp:revision>
  <dcterms:created xsi:type="dcterms:W3CDTF">2024-03-11T10:09:00Z</dcterms:created>
  <dcterms:modified xsi:type="dcterms:W3CDTF">2024-03-28T08:35:00Z</dcterms:modified>
</cp:coreProperties>
</file>